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7434e537f4c7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54044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SPORTSKI OBJEKTI KARLOVAC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859.234,81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662.914,89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824.519,57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695.628,01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32.713,12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23.723,19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17.702,38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23.723,19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17.702,38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50.415,50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Ukupni prihodi poslovanja ostvareni su u iznosu od 662.914,89 eura, rashodi u iznosu od 695.628,01 euro. Ostvaren je manjak prihoda poslovanja u iznosu od 32.713,12 ezra te manjak od nefinancijske imovine u iznosu od 17.702,38 eura što ukupno iznosi 50.415,50 eura manjka. Preneseni viškovi iznose 39.330,10 eura pa je ostvaren ukupni manjak od 11.085,40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859.234,81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662.914,89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77,2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Ukupni prihodi poslovanja za period 1.-6. 2026. godine su manji za 22,8% u odnosu na isti period 2025. godine. Razlog tome je što su manji prihodi od zakupnina, a najviše zbog toga što u 2026. godini ne obavljamo ugostiteljsku djelatnost koja je najznačajnije utjecala na smanjenje prihoda.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75.108,78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49.981,09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66,5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Prihodi od imovine su manji za 33,5% u odnosu na polugodišnji period 2025. godine zbog manjeg prihoda od zakupa tj. u periodu 1.-6. 2025. smo imali nekoliko značajnih manifestacija koje nisu redobni prihod od zakupa. Također se nešto smanjio prihod od redovnih zakupa zbog istjeka ugovora dosadašnjim zakupcima i provođenja novih natječaja.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376.744,65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275.564,91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73,1</w:t>
            </w:r>
          </w:p>
        </w:tc>
      </w:tr>
    </w:tbl>
    <w:p>
      <w:pPr>
        <w:spacing w:before="0" w:after="0"/>
      </w:pPr>
    </w:p>
    <w:p>
      <w:r>
        <w:t xml:space="preserve">Prihodi od prodaje robe te pruženih usluga su smanjeni uglavnom zbog ugostiteljske djelatnosti koju ustanova više ne obavlja već je osnovano društvo sa ograničnom odgovornošću Korner Karlovac, u vlasništvu ustanove za obavljanje iste.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405.658,96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337.368,89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83,2</w:t>
            </w:r>
          </w:p>
        </w:tc>
      </w:tr>
    </w:tbl>
    <w:p>
      <w:pPr>
        <w:spacing w:before="0" w:after="0"/>
      </w:pPr>
    </w:p>
    <w:p>
      <w:r>
        <w:t xml:space="preserve">Prihodi iz nadležnog proračuna su manji za 16,8% u odnosu na isto razdoblje prijašnje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824.519,57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695.628,01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84,4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Rashodi poslovanja su manji u odnosu na isto razdoblje prijašnje godine za 15,6% i to najznačajnije zbog manjih troškova plaća. Manji je broj zaposlenih zbog tri djelatnika ugostiteljstva koji su zaposlenici Korner Karlovac.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41.123,66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47.641,62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115,8</w:t>
            </w:r>
          </w:p>
        </w:tc>
      </w:tr>
    </w:tbl>
    <w:p>
      <w:pPr>
        <w:spacing w:before="0" w:after="0"/>
      </w:pPr>
    </w:p>
    <w:p>
      <w:r>
        <w:t xml:space="preserve">Ostali rashodi za zaposlene su veći za 15,8% zbog isplate jedne otpremnine prilikom odlaska zaposlenika u mirovinu, a koju nismo imali u 2025.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62.986,19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54.359,80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86,3</w:t>
            </w:r>
          </w:p>
        </w:tc>
      </w:tr>
    </w:tbl>
    <w:p>
      <w:pPr>
        <w:spacing w:before="0" w:after="0"/>
      </w:pPr>
    </w:p>
    <w:p>
      <w:r>
        <w:t xml:space="preserve">Doprinosi na plaće su manji za 13,7% razmjerno smanjenju bruto plaća.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156.775,90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110.366,52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70,4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Rashodi za materijal i energiju su manji za 29,6% uglavnom zbog manjih izdataka za nabavu trgovačke robe za ugostiteljstvo te manjih troškova energenata i uredskog materijala zbog mjera štednje.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161.470,02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135.654,16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84,0</w:t>
            </w:r>
          </w:p>
        </w:tc>
      </w:tr>
    </w:tbl>
    <w:p>
      <w:pPr>
        <w:spacing w:before="0" w:after="0"/>
      </w:pPr>
    </w:p>
    <w:p>
      <w:r>
        <w:t xml:space="preserve">Rashodi za usluge su manji za 16% uglavnom zbog manjih tekućih ulaganja, a što smo imali veću potrebu u 2025.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26.895,67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38.680,82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143,8</w:t>
            </w:r>
          </w:p>
        </w:tc>
      </w:tr>
    </w:tbl>
    <w:p>
      <w:pPr>
        <w:spacing w:before="0" w:after="0"/>
      </w:pPr>
    </w:p>
    <w:p>
      <w:r>
        <w:t xml:space="preserve">Ostale usluge su veće za 43,8% i to zato što su troškovi malonogometnog turnira knjiženi u 2026. godini u siječnju, a za proteklu sezonu u prosincu 2024.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23.723,19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17.702,38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74,6</w:t>
            </w:r>
          </w:p>
        </w:tc>
      </w:tr>
    </w:tbl>
    <w:p>
      <w:pPr>
        <w:spacing w:before="0" w:after="0"/>
      </w:pPr>
    </w:p>
    <w:p>
      <w:r>
        <w:t xml:space="preserve">Rashodi za nabavu nefinancijske imovine su manji za 25,4% zbog manjih izdataka za nabavu dugotrajne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50.415,50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</w:pPr>
      <w:r>
        <w:t xml:space="preserve">Manjak prihoda i primitaka iznosi 50.415,50 eura. To je rezultat toga što je plaća za lipanj 2026. knjižena cijela u rashod, a po isplati koja je u srpnju knjižimo prihod jer se plaća financira iz općih prihoda tj. iz proračuna grada. Budući imamo preneseni višak od 39.330,10 eura ukupni ostvareni manjak iznosi 11.085,40 eura,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11-dugov.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priljevi na novčane račune i blagajne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11-dugov.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228.850,71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30.694,08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13,4</w:t>
            </w:r>
          </w:p>
        </w:tc>
      </w:tr>
    </w:tbl>
    <w:p>
      <w:pPr>
        <w:spacing w:before="0" w:after="0"/>
      </w:pPr>
    </w:p>
    <w:p>
      <w:r>
        <w:t xml:space="preserve">Priljevi i odljevi s računa su manji zbog toga što nemamo promet ugostiteljstva u ovoj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Otpremnine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14.270,37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Prema Kolektivnom ugovoru isplaćena je jedna otpremnina zaposleniku zbog odlaska u mirovinu te ona iznosi sa doprinosima 14.270,37 eura.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dospjele obveze su podmirene pa 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109.636,79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iznosi 109.636,79 i odnosi se na obveze za plaću za lipanj koja je isplaćena u srpnju te nedospjeli računi dobavljača kojima je dospjeće iza 30. lipnja 2026. godine.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5a160d5a504865" /></Relationships>
</file>